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21" w:rsidRPr="00551721" w:rsidRDefault="00551721" w:rsidP="00551721">
      <w:pPr>
        <w:pStyle w:val="a6"/>
        <w:jc w:val="center"/>
        <w:rPr>
          <w:rFonts w:eastAsia="Times New Roman"/>
          <w:sz w:val="24"/>
          <w:szCs w:val="24"/>
          <w:lang w:eastAsia="en-US"/>
        </w:rPr>
      </w:pPr>
      <w:bookmarkStart w:id="0" w:name="_GoBack"/>
      <w:bookmarkEnd w:id="0"/>
      <w:r w:rsidRPr="00551721">
        <w:rPr>
          <w:rFonts w:eastAsia="Times New Roman"/>
          <w:sz w:val="24"/>
          <w:szCs w:val="24"/>
          <w:lang w:eastAsia="en-US"/>
        </w:rPr>
        <w:t>Томская область Асиновский район</w:t>
      </w:r>
    </w:p>
    <w:p w:rsidR="00551721" w:rsidRPr="00551721" w:rsidRDefault="00551721" w:rsidP="00551721">
      <w:pPr>
        <w:pStyle w:val="a6"/>
        <w:jc w:val="center"/>
        <w:rPr>
          <w:rFonts w:eastAsia="Times New Roman"/>
          <w:b/>
          <w:sz w:val="24"/>
          <w:szCs w:val="24"/>
          <w:lang w:eastAsia="en-US"/>
        </w:rPr>
      </w:pPr>
      <w:r w:rsidRPr="00551721">
        <w:rPr>
          <w:rFonts w:eastAsia="Times New Roman"/>
          <w:b/>
          <w:sz w:val="24"/>
          <w:szCs w:val="24"/>
          <w:lang w:eastAsia="en-US"/>
        </w:rPr>
        <w:t>АДМИНИСТРАЦИЯ</w:t>
      </w:r>
    </w:p>
    <w:p w:rsidR="00551721" w:rsidRPr="00551721" w:rsidRDefault="00551721" w:rsidP="00551721">
      <w:pPr>
        <w:pStyle w:val="a6"/>
        <w:jc w:val="center"/>
        <w:rPr>
          <w:rFonts w:eastAsia="Times New Roman"/>
          <w:b/>
          <w:sz w:val="24"/>
          <w:szCs w:val="24"/>
          <w:lang w:eastAsia="en-US"/>
        </w:rPr>
      </w:pPr>
      <w:r w:rsidRPr="00551721">
        <w:rPr>
          <w:rFonts w:eastAsia="Times New Roman"/>
          <w:b/>
          <w:sz w:val="24"/>
          <w:szCs w:val="24"/>
          <w:lang w:eastAsia="en-US"/>
        </w:rPr>
        <w:t>НОВОНИКОЛАЕВСКОГО СЕЛЬСКОГО ПОСЕЛЕНИЯ</w:t>
      </w:r>
    </w:p>
    <w:p w:rsidR="00551721" w:rsidRPr="00551721" w:rsidRDefault="00551721" w:rsidP="00551721">
      <w:pPr>
        <w:pStyle w:val="a6"/>
        <w:jc w:val="center"/>
        <w:rPr>
          <w:rFonts w:eastAsia="Times New Roman"/>
          <w:sz w:val="24"/>
          <w:szCs w:val="24"/>
        </w:rPr>
      </w:pPr>
      <w:r w:rsidRPr="00551721">
        <w:rPr>
          <w:rFonts w:eastAsia="Times New Roman"/>
          <w:sz w:val="24"/>
          <w:szCs w:val="24"/>
        </w:rPr>
        <w:t>ПОСТАНОВЛЕНИЕ</w:t>
      </w:r>
    </w:p>
    <w:p w:rsidR="00551721" w:rsidRPr="00551721" w:rsidRDefault="00144003" w:rsidP="00551721">
      <w:pPr>
        <w:pStyle w:val="a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21</w:t>
      </w:r>
      <w:r w:rsidR="00551721" w:rsidRPr="0055172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05</w:t>
      </w:r>
      <w:r w:rsidR="00551721" w:rsidRPr="00551721">
        <w:rPr>
          <w:rFonts w:eastAsia="Times New Roman"/>
          <w:sz w:val="24"/>
          <w:szCs w:val="24"/>
        </w:rPr>
        <w:t xml:space="preserve">.2024                                                                                                                                          № </w:t>
      </w:r>
      <w:r>
        <w:rPr>
          <w:rFonts w:eastAsia="Times New Roman"/>
          <w:sz w:val="24"/>
          <w:szCs w:val="24"/>
        </w:rPr>
        <w:t>34</w:t>
      </w:r>
    </w:p>
    <w:p w:rsidR="00551721" w:rsidRPr="00551721" w:rsidRDefault="00551721" w:rsidP="00551721">
      <w:pPr>
        <w:pStyle w:val="a6"/>
        <w:jc w:val="center"/>
        <w:rPr>
          <w:rFonts w:eastAsia="Times New Roman"/>
          <w:sz w:val="24"/>
          <w:szCs w:val="24"/>
        </w:rPr>
      </w:pPr>
      <w:proofErr w:type="gramStart"/>
      <w:r w:rsidRPr="00551721">
        <w:rPr>
          <w:rFonts w:eastAsia="Times New Roman"/>
          <w:sz w:val="24"/>
          <w:szCs w:val="24"/>
        </w:rPr>
        <w:t>с</w:t>
      </w:r>
      <w:proofErr w:type="gramEnd"/>
      <w:r w:rsidRPr="00551721">
        <w:rPr>
          <w:rFonts w:eastAsia="Times New Roman"/>
          <w:sz w:val="24"/>
          <w:szCs w:val="24"/>
        </w:rPr>
        <w:t>. Новониколаевка</w:t>
      </w:r>
    </w:p>
    <w:p w:rsidR="00551721" w:rsidRPr="00551721" w:rsidRDefault="00551721" w:rsidP="0055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51721" w:rsidRPr="00551721" w:rsidRDefault="00551721" w:rsidP="0055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51721" w:rsidRPr="00551721" w:rsidRDefault="00551721" w:rsidP="0055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«Об утверждении Порядка и условий заключения соглашений о защите и поощрении капиталовложений со стороны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муниципального образования «Новониколаевское сельское поселение»</w:t>
      </w:r>
    </w:p>
    <w:p w:rsidR="00551721" w:rsidRPr="00551721" w:rsidRDefault="00551721" w:rsidP="005517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В соответствии с частью 8 статьи 4 Федерального закона от 01.04.2020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/>
        <w:t xml:space="preserve">№ 69-ФЗ «О защите и поощрении капиталовложений в Российской Федерации»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А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Новониколаевского сельского поселения</w:t>
      </w:r>
    </w:p>
    <w:p w:rsidR="00551721" w:rsidRPr="00551721" w:rsidRDefault="00551721" w:rsidP="005517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ПОСТАНОВЛЯЕТ:</w:t>
      </w:r>
    </w:p>
    <w:p w:rsidR="00551721" w:rsidRPr="00551721" w:rsidRDefault="00DD6DB3" w:rsidP="00DD6DB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1.</w:t>
      </w:r>
      <w:r w:rsidR="00551721"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Утвердить Порядок и условия заключения соглашений о защите и поощрении капиталовложений со стороны </w:t>
      </w:r>
      <w:r w:rsidR="00551721"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 «Новониколаевское сельское поселение»</w:t>
      </w:r>
      <w:r w:rsid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51721"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согласно приложению.</w:t>
      </w:r>
    </w:p>
    <w:p w:rsidR="00DD6DB3" w:rsidRDefault="00DD6DB3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="00551721"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2.Настоящее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ления www.nnselpasino.ru.      </w:t>
      </w:r>
    </w:p>
    <w:p w:rsidR="00551721" w:rsidRPr="00551721" w:rsidRDefault="00DD6DB3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3.</w:t>
      </w:r>
      <w:proofErr w:type="gramStart"/>
      <w:r w:rsidR="00551721"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="00551721"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исполнением </w:t>
      </w:r>
      <w:r w:rsidR="00551721" w:rsidRPr="009D54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постановления </w:t>
      </w:r>
      <w:r w:rsidR="009D5413" w:rsidRPr="009D5413">
        <w:rPr>
          <w:rFonts w:ascii="Times New Roman" w:eastAsia="Times New Roman" w:hAnsi="Times New Roman" w:cs="Times New Roman"/>
          <w:sz w:val="24"/>
          <w:szCs w:val="24"/>
          <w:lang w:eastAsia="zh-CN"/>
        </w:rPr>
        <w:t>оставляю за собой</w:t>
      </w:r>
      <w:r w:rsidR="00551721"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Глава сельского поселения                                                                                Н.Н. Жаровских</w:t>
      </w: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11"/>
      </w:tblGrid>
      <w:tr w:rsidR="00551721" w:rsidRPr="00551721" w:rsidTr="00617B17">
        <w:tc>
          <w:tcPr>
            <w:tcW w:w="5111" w:type="dxa"/>
          </w:tcPr>
          <w:p w:rsidR="00551721" w:rsidRPr="00551721" w:rsidRDefault="00551721" w:rsidP="00551721">
            <w:pPr>
              <w:widowControl w:val="0"/>
              <w:tabs>
                <w:tab w:val="left" w:pos="6435"/>
              </w:tabs>
              <w:spacing w:beforeAutospacing="1"/>
              <w:rPr>
                <w:rFonts w:eastAsia="Lucida Sans Unicode"/>
                <w:strike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Pr="00551721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</w:t>
      </w:r>
    </w:p>
    <w:p w:rsidR="00551721" w:rsidRPr="00551721" w:rsidRDefault="00551721" w:rsidP="00551721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</w:t>
      </w:r>
      <w:r w:rsidR="009D5413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дминистрации </w:t>
      </w:r>
      <w:r w:rsidR="009D5413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Новониколаевского</w:t>
      </w:r>
      <w:r w:rsidR="00DD6DB3" w:rsidRPr="009D54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поселение»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от «</w:t>
      </w:r>
      <w:r w:rsidR="00144003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="00144003">
        <w:rPr>
          <w:rFonts w:ascii="Times New Roman" w:eastAsia="Times New Roman" w:hAnsi="Times New Roman" w:cs="Times New Roman"/>
          <w:sz w:val="24"/>
          <w:szCs w:val="24"/>
          <w:lang w:eastAsia="zh-CN"/>
        </w:rPr>
        <w:t>мая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</w:t>
      </w:r>
      <w:r w:rsidR="00DD6DB3" w:rsidRPr="009D5413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№ </w:t>
      </w:r>
      <w:r w:rsidR="00144003">
        <w:rPr>
          <w:rFonts w:ascii="Times New Roman" w:eastAsia="Times New Roman" w:hAnsi="Times New Roman" w:cs="Times New Roman"/>
          <w:sz w:val="24"/>
          <w:szCs w:val="24"/>
          <w:lang w:eastAsia="zh-CN"/>
        </w:rPr>
        <w:t>34</w:t>
      </w:r>
    </w:p>
    <w:p w:rsidR="00551721" w:rsidRPr="00551721" w:rsidRDefault="00551721" w:rsidP="0055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721" w:rsidRPr="00551721" w:rsidRDefault="00551721" w:rsidP="0055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721" w:rsidRPr="00551721" w:rsidRDefault="00551721" w:rsidP="00DD6D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Порядок и условия заключения соглашений о защите и поощрении капиталовложений со стороны </w:t>
      </w:r>
      <w:r w:rsidR="00DD6DB3" w:rsidRPr="00DD6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муниципального образования «Новониколаевское сельское поселение» </w:t>
      </w:r>
      <w:r w:rsidRPr="00551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(далее - Порядок)</w:t>
      </w:r>
    </w:p>
    <w:p w:rsidR="00551721" w:rsidRPr="00551721" w:rsidRDefault="00551721" w:rsidP="005517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551721" w:rsidRPr="00551721" w:rsidRDefault="00551721" w:rsidP="005517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Общие положения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1.1.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Порядок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разработан в соответствии с частью 8 статьи 4 Федерального закона от 01.04.2020 № 69-ФЗ «О защите и поощрении капиталовложений в Российской Федерации» и устанавливает порядок и условия заключения соглашений о защите и поощрении капиталовложений со стороны </w:t>
      </w:r>
      <w:r w:rsidR="00DD6DB3" w:rsidRP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 «Новониколаевское сельское поселение»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1.2. Администрация </w:t>
      </w:r>
      <w:r w:rsid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является уполномоченным органом в сфере заключения соглашений о защите и поощрении капиталовложений.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1.3.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01.04.2020 № 69-ФЗ «О защите и поощрении капиталовложений в Российской Федерации».</w:t>
      </w:r>
    </w:p>
    <w:p w:rsidR="00551721" w:rsidRPr="00551721" w:rsidRDefault="00551721" w:rsidP="00551721">
      <w:pPr>
        <w:widowControl w:val="0"/>
        <w:tabs>
          <w:tab w:val="left" w:pos="141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721" w:rsidRPr="00551721" w:rsidRDefault="00551721" w:rsidP="0055172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Порядок заключения соглашений о защите и поощрении капиталовложений со стороны </w:t>
      </w:r>
      <w:r w:rsidR="00DD6DB3" w:rsidRPr="00DD6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муниципального образования «Новониколаевское сельское поселение»</w:t>
      </w:r>
    </w:p>
    <w:p w:rsidR="009D5413" w:rsidRDefault="009D5413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2.1. Соглашение о защите и поощрении капиталовложений может заключаться с использованием государственной информационной системы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«Капиталовложения» (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но не ранее ввода в эксплуатацию указанной государственной информационной системы),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порядке, предусмотренном статьями 7 и 8 Федерального закона 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Соглашение о защите и поощрении капиталовложений заключается не позднее 1 января 2030 года.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Соглашение о защите и поощрении капиталовложений должно содержать следующие условия: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модернизации, а также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</w:t>
      </w:r>
      <w:proofErr w:type="gramEnd"/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ним;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указание на этапы реализации инвестиционного проекта, а также применительно к каждому такому этапу: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срок получения разрешений и согласий, необходимых для реализации соответствующего этапа инвестиционного проекта;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срок государственной регистрации прав, в том числе права на недвижимое имущество, а также срок государственной регистрации результатов интеллектуальной деятельности и (или) приравненных к ним средств индивидуализации (в применимых случаях);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2.1) срок осуществления капиталовложений в установленном объеме;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2.2) сроки осуществления иных мероприятий, определенных в соглашении о защите и поощрении капиталовложений;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2.3) объем капиталовложений;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2.4) объем планируемых к возмещению затрат, указанных в части 1 статьи 15 Федерального закона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планируемые сроки их возмещения;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 о предельно допустимых отклонениях от параметров реализации инвестиционного проекта, указанных в подпунктах 2 - 2.2 настоящего пункта Порядка, в следующих пределах: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25 процентов - в случае,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отклонения, а также в случае, указанном в подпункте 2.1 настоящего пункта Порядка, если соглашение о защите и поощрении капиталовложений было заключено в порядке частной проектной инициативы; </w:t>
      </w:r>
      <w:proofErr w:type="gramEnd"/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40 процентов - в случаях, указанных в подпунктах «а» - «в» подпункта 2 и подпункте 2.2 настоящего пункта Порядка (значения предельно допустимых отклонений определяются в соответствии с порядком, установленным Правительством Российской Федерации);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срок применения стабилизационной оговорки в пределах сроков, установленных частями 10 и 11 статьи 10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от 01.04.2020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/>
        <w:t>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условия связанных договоров, в том числе сроки предоставления и объемы субсидий, бюджетных инвестиций, указанных в пункте 1 части 1 статьи 14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(или) процентная ставка (порядок ее определения) по кредитному договору, указанному в пункте 2 части 1 статьи 14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от 01.04.2020 № 69-ФЗ «О защите</w:t>
      </w:r>
      <w:proofErr w:type="gramEnd"/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 и </w:t>
      </w:r>
      <w:proofErr w:type="gramStart"/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поощрении</w:t>
      </w:r>
      <w:proofErr w:type="gramEnd"/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сроки предоставления и объемы субсидий, указанных в пункте 2 части 3 статьи 14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указание на обязанность муниципального образования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бюджет </w:t>
      </w:r>
      <w:r w:rsidR="009D5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DD6DB3" w:rsidRPr="00DD6D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</w:t>
      </w:r>
      <w:r w:rsidR="009D5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D6DB3" w:rsidRPr="00DD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DD6DB3" w:rsidRPr="00DD6D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реализацией инвестиционного проекта, а именно земельного налога: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возмещение реального ущерба в соответствии с порядком, предусмотренным статьей 12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от 01.04.2020 № 69-ФЗ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/>
        <w:t>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 случаях, предусмотренных частью 3 статьи 14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возмещение понесенных затрат, предусмотренных статьей 15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случае, если муниципальным образованием было принято решение о возмещении таких затрат);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порядок мониторинга, в том числе представления организацией, реализующей проект, информации об этапах реализации инвестиционного проекта;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порядок разрешения споров между сторонами соглашения о защите и поощрении капиталовложений;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иные условия, предусмотренные Федеральным законом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от 01.04.2020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/>
        <w:t xml:space="preserve">№ 69-ФЗ «О защите и поощрении капиталовложений в Российской Федерации»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типовой формой соглашения о защите и поощрении капиталовложений, утвержденной Правительством Российской Федерации.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2.3.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заключении соглашения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защите и поощрении капиталовложений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принимается в форме распоряжения </w:t>
      </w:r>
      <w:r w:rsidR="00DD6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2.4. От имени </w:t>
      </w:r>
      <w:r w:rsidR="00DD6DB3" w:rsidRP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 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соглашение о защите и поощрении капиталовлож</w:t>
      </w:r>
      <w:r w:rsidR="00DD6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ений подлежит подписанию главой</w:t>
      </w:r>
      <w:r w:rsidR="00DD6D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  <w:r w:rsidR="00DD6DB3" w:rsidRPr="00DD6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Администрации 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подписания соглашения о защите и поощрении капиталовложений в государственной информационной системе «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Капиталовложения»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электронная подпись (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но не ранее ввода в эксплуатацию указанной государственной информационной системы)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 </w:t>
      </w:r>
      <w:proofErr w:type="gramStart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Соглашение о защите и поощрении капиталовложений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(дополнительное соглашение к нему)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признается заключенным с даты регистрации соответствующего соглашения (внесения в реестр соглашений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и поощрении капиталовложений (далее – реестр соглашений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).</w:t>
      </w:r>
      <w:proofErr w:type="gramEnd"/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2.7. Соглашение о защите и поощрении капиталовложений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(дополнительное соглашение к нему)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подлежит включению в реестр соглашений не позднее пяти рабочих дней </w:t>
      </w:r>
      <w:proofErr w:type="gramStart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даты подписания</w:t>
      </w:r>
      <w:proofErr w:type="gramEnd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Администрацией 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2.8.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орган местного самоуправления информацию о реализации соответствующего этапа инвестиционного проекта, подлежащую отражению в реестре соглашений.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2.9. Администрация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осуществляет мониторинг, включающий в себя проверку обстоятельств, указывающих на наличие оснований для расторжения соглашения о защите и поощрении капиталовложений.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2.10.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итогам проведения </w:t>
      </w:r>
      <w:proofErr w:type="gramStart"/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указанной</w:t>
      </w:r>
      <w:proofErr w:type="gramEnd"/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пункте 2.9. Порядка процедуры </w:t>
      </w:r>
      <w:r w:rsid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дминистрация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Новониколаевского сельского поселения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формирует отчеты о реализации соответствующего этапа инвестиционного проекта и направляет их </w:t>
      </w:r>
      <w:proofErr w:type="gramStart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</w:t>
      </w:r>
      <w:proofErr w:type="gramEnd"/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орган исполнительной власти. </w:t>
      </w:r>
    </w:p>
    <w:p w:rsidR="00551721" w:rsidRPr="00551721" w:rsidRDefault="00551721" w:rsidP="0055172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Условия заключения соглашений о защите и поощрении капиталовложений со стороны </w:t>
      </w:r>
      <w:r w:rsidR="00DD6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Администрации Новониколаевского сельского поселения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игорный бизнес;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оптовая и розничная торговля;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3.2. По соглашению о защите и поощрении капиталовложений </w:t>
      </w:r>
      <w:r w:rsidR="009D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дминистрация </w:t>
      </w:r>
      <w:r w:rsidR="009D5413" w:rsidRPr="009D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:rsidR="00551721" w:rsidRPr="00551721" w:rsidRDefault="00551721" w:rsidP="00551721">
      <w:pPr>
        <w:widowControl w:val="0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увеличивающих сроки осуществления процедур, необходимых для реализации инвестиционного проекта;</w:t>
      </w:r>
    </w:p>
    <w:p w:rsidR="00551721" w:rsidRPr="00551721" w:rsidRDefault="00551721" w:rsidP="00551721">
      <w:pPr>
        <w:widowControl w:val="0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увеличивающих количество процедур, необходимых для реализации инвестиционного проекта;</w:t>
      </w:r>
    </w:p>
    <w:p w:rsidR="00551721" w:rsidRPr="00551721" w:rsidRDefault="00551721" w:rsidP="00551721">
      <w:pPr>
        <w:widowControl w:val="0"/>
        <w:tabs>
          <w:tab w:val="left" w:pos="9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3)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551721" w:rsidRPr="00551721" w:rsidRDefault="00551721" w:rsidP="00551721">
      <w:pPr>
        <w:widowControl w:val="0"/>
        <w:tabs>
          <w:tab w:val="left" w:pos="9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4)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551721" w:rsidRPr="00551721" w:rsidRDefault="00551721" w:rsidP="00551721">
      <w:pPr>
        <w:widowControl w:val="0"/>
        <w:tabs>
          <w:tab w:val="left" w:pos="9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5)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Start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устанавливающих</w:t>
      </w:r>
      <w:proofErr w:type="gramEnd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дополнительные запреты, препятствующих реализации инвестиционного проекта.</w:t>
      </w:r>
    </w:p>
    <w:p w:rsidR="00551721" w:rsidRPr="00551721" w:rsidRDefault="00551721" w:rsidP="005517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этом организация, реализующая проект, имеет право требовать неприменения таких актов (решений) при реализации инвестиционного проекта от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5413" w:rsidRPr="009D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51721" w:rsidRPr="00551721" w:rsidRDefault="00551721" w:rsidP="005517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3.3. Администрация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5413" w:rsidRPr="009D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заключившая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551721" w:rsidRPr="00551721" w:rsidRDefault="00551721" w:rsidP="00551721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51721" w:rsidRPr="00551721" w:rsidRDefault="00551721" w:rsidP="00551721">
      <w:pPr>
        <w:widowControl w:val="0"/>
        <w:tabs>
          <w:tab w:val="left" w:pos="332"/>
        </w:tabs>
        <w:spacing w:after="36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4. Заключительные положения</w:t>
      </w:r>
    </w:p>
    <w:p w:rsidR="00551721" w:rsidRPr="00551721" w:rsidRDefault="00551721" w:rsidP="0055172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4.1. Положения об ответственности за нарушение условий соглашения о защите и поощрении капиталовложений установлены статьей 12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51721" w:rsidRPr="00551721" w:rsidRDefault="00551721" w:rsidP="0055172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4.2. Порядок рассмотрения споров по соглашению о защите и поощрении капиталовложений установлен статьей 13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51721" w:rsidRPr="00551721" w:rsidRDefault="00551721" w:rsidP="0055172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4.3. Положения, касающиеся связанных договоров, определены статьей 14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05BA" w:rsidRPr="00551721" w:rsidRDefault="005505BA">
      <w:pPr>
        <w:rPr>
          <w:rFonts w:ascii="Times New Roman" w:hAnsi="Times New Roman" w:cs="Times New Roman"/>
          <w:sz w:val="24"/>
          <w:szCs w:val="24"/>
        </w:rPr>
      </w:pPr>
    </w:p>
    <w:sectPr w:rsidR="005505BA" w:rsidRPr="00551721" w:rsidSect="00C86909">
      <w:headerReference w:type="default" r:id="rId8"/>
      <w:pgSz w:w="11906" w:h="16838"/>
      <w:pgMar w:top="1134" w:right="765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D6" w:rsidRDefault="00853FD6">
      <w:pPr>
        <w:spacing w:after="0" w:line="240" w:lineRule="auto"/>
      </w:pPr>
      <w:r>
        <w:separator/>
      </w:r>
    </w:p>
  </w:endnote>
  <w:endnote w:type="continuationSeparator" w:id="0">
    <w:p w:rsidR="00853FD6" w:rsidRDefault="0085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D6" w:rsidRDefault="00853FD6">
      <w:pPr>
        <w:spacing w:after="0" w:line="240" w:lineRule="auto"/>
      </w:pPr>
      <w:r>
        <w:separator/>
      </w:r>
    </w:p>
  </w:footnote>
  <w:footnote w:type="continuationSeparator" w:id="0">
    <w:p w:rsidR="00853FD6" w:rsidRDefault="0085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83047"/>
      <w:docPartObj>
        <w:docPartGallery w:val="Page Numbers (Top of Page)"/>
        <w:docPartUnique/>
      </w:docPartObj>
    </w:sdtPr>
    <w:sdtEndPr/>
    <w:sdtContent>
      <w:p w:rsidR="00C86909" w:rsidRDefault="009D54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64E">
          <w:rPr>
            <w:noProof/>
          </w:rPr>
          <w:t>2</w:t>
        </w:r>
        <w:r>
          <w:fldChar w:fldCharType="end"/>
        </w:r>
      </w:p>
    </w:sdtContent>
  </w:sdt>
  <w:p w:rsidR="00C112C9" w:rsidRDefault="00853F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1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F0"/>
    <w:rsid w:val="00144003"/>
    <w:rsid w:val="001540F0"/>
    <w:rsid w:val="005505BA"/>
    <w:rsid w:val="00551721"/>
    <w:rsid w:val="0059764E"/>
    <w:rsid w:val="00853FD6"/>
    <w:rsid w:val="009C7F76"/>
    <w:rsid w:val="009D5413"/>
    <w:rsid w:val="00D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172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51721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rsid w:val="005517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517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172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51721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rsid w:val="005517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517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2024-03-29T07:00:00Z</dcterms:created>
  <dcterms:modified xsi:type="dcterms:W3CDTF">2024-05-24T02:13:00Z</dcterms:modified>
</cp:coreProperties>
</file>