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</w:t>
      </w:r>
      <w:r w:rsidR="00860D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НИКОЛАЕВСКОГО </w:t>
      </w: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60DAD" w:rsidRDefault="00860DAD" w:rsidP="00860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2C02" w:rsidRPr="006236AD" w:rsidRDefault="00F12C02" w:rsidP="00860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8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.01.2021                     </w:t>
      </w:r>
      <w:r w:rsidR="008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№ 1</w:t>
      </w:r>
      <w:r w:rsidR="008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67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8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C02" w:rsidRPr="006236AD" w:rsidRDefault="00F12C02" w:rsidP="00860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Порядка расчета и возврата сумм инициативных</w:t>
      </w:r>
      <w:bookmarkStart w:id="0" w:name="_GoBack"/>
      <w:bookmarkEnd w:id="0"/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платежей, подлежащих возврату лицам (в том числе организациям),</w:t>
      </w:r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осуществившим их перечисление в бюджет Ново</w:t>
      </w:r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2C02" w:rsidRPr="006236AD" w:rsidRDefault="00F12C02" w:rsidP="00F12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56.1 Федерального закона от 6 октября 2003 года № 131-ФЗ «Об общих принципах организации местного самоуправления в Российской Федерации», статьей 35 Бюджетного кодекса Российской Федерации, статьей 19 Устава Ново</w:t>
      </w:r>
      <w:r w:rsidR="00860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12C02" w:rsidRPr="006236AD" w:rsidRDefault="00F12C02" w:rsidP="00F12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860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1. Утвердить Порядок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Ново</w:t>
      </w:r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Pr="006236AD">
        <w:rPr>
          <w:rFonts w:ascii="Times New Roman" w:eastAsia="Calibri" w:hAnsi="Times New Roman" w:cs="Times New Roman"/>
          <w:sz w:val="24"/>
          <w:szCs w:val="24"/>
        </w:rPr>
        <w:t>согласно приложению к настоящему решению.</w:t>
      </w:r>
    </w:p>
    <w:p w:rsidR="00F12C02" w:rsidRPr="006236AD" w:rsidRDefault="00F12C02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2.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860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DAD">
        <w:rPr>
          <w:rFonts w:ascii="Times New Roman" w:hAnsi="Times New Roman" w:cs="Times New Roman"/>
          <w:sz w:val="24"/>
          <w:szCs w:val="24"/>
        </w:rPr>
        <w:t xml:space="preserve">Новониколаевского сельского поселения </w:t>
      </w:r>
      <w:hyperlink r:id="rId6" w:history="1">
        <w:r w:rsidR="004D576D" w:rsidRPr="00076C84">
          <w:rPr>
            <w:rStyle w:val="a7"/>
            <w:rFonts w:ascii="Times New Roman" w:hAnsi="Times New Roman" w:cs="Times New Roman"/>
            <w:sz w:val="24"/>
            <w:szCs w:val="24"/>
          </w:rPr>
          <w:t>www.n</w:t>
        </w:r>
        <w:r w:rsidR="004D576D" w:rsidRPr="00076C8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4D576D" w:rsidRPr="00076C84">
          <w:rPr>
            <w:rStyle w:val="a7"/>
            <w:rFonts w:ascii="Times New Roman" w:hAnsi="Times New Roman" w:cs="Times New Roman"/>
            <w:sz w:val="24"/>
            <w:szCs w:val="24"/>
          </w:rPr>
          <w:t>selpasino.ru</w:t>
        </w:r>
      </w:hyperlink>
      <w:r w:rsidR="00860DAD" w:rsidRPr="00860DAD">
        <w:rPr>
          <w:rFonts w:ascii="Times New Roman" w:hAnsi="Times New Roman" w:cs="Times New Roman"/>
          <w:sz w:val="24"/>
          <w:szCs w:val="24"/>
        </w:rPr>
        <w:t>.</w:t>
      </w:r>
    </w:p>
    <w:p w:rsidR="00F12C02" w:rsidRPr="006236AD" w:rsidRDefault="00F12C02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>3. Настоящее решениевступает в силу со дня его официального опубликования.</w:t>
      </w:r>
    </w:p>
    <w:p w:rsidR="00F12C02" w:rsidRPr="006236AD" w:rsidRDefault="00F12C02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>4. Контроль исполнения настоящего решения возложить на социально-экономический комитет Совета Ново</w:t>
      </w:r>
      <w:r w:rsidR="00860DAD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Глава сельского поселения                                                         </w:t>
      </w:r>
      <w:r w:rsidR="00860DA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Д.С. Бурков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>решением Совета Ново</w:t>
      </w:r>
      <w:r w:rsidR="00860DAD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860DAD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.01.2021</w:t>
      </w:r>
      <w:r w:rsidRPr="006236AD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860DAD">
        <w:rPr>
          <w:rFonts w:ascii="Times New Roman" w:eastAsia="Times New Roman" w:hAnsi="Times New Roman" w:cs="Times New Roman"/>
          <w:lang w:eastAsia="ru-RU"/>
        </w:rPr>
        <w:t>67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расчета и возврата сумм инициативных платежей, подлежащих возврату лицам 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(в том числе организациям), осуществившим их перечисление в бюджет </w:t>
      </w:r>
      <w:r w:rsidRPr="006236A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Ново</w:t>
      </w:r>
      <w:r w:rsidR="00860DA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сельского поселения 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1. Настоящий порядок разработан в соответствии со статьей 56.1 Федерального закона от 6 октября 2003 года № 131-ФЗ «Об общих принципах организации местного самоуправления в Российской Федерации», статьей 35 Бюджетного кодекса Российской Федерации.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2. В случае</w:t>
      </w:r>
      <w:proofErr w:type="gramStart"/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</w:t>
      </w:r>
      <w:proofErr w:type="gramEnd"/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если инициативный проект не был реализован,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Pr="006236AD">
        <w:rPr>
          <w:rFonts w:ascii="Times New Roman" w:eastAsia="Times New Roman" w:hAnsi="Times New Roman" w:cs="Calibri"/>
          <w:sz w:val="24"/>
          <w:szCs w:val="24"/>
          <w:lang w:eastAsia="ru-RU"/>
        </w:rPr>
        <w:t>Ново</w:t>
      </w:r>
      <w:r w:rsidR="00860DAD">
        <w:rPr>
          <w:rFonts w:ascii="Times New Roman" w:eastAsia="Times New Roman" w:hAnsi="Times New Roman" w:cs="Calibri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 </w:t>
      </w: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(далее - денежные средства, подлежащие возврату).</w:t>
      </w: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3.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Инициаторы проекта предоставляют заявление на возврат денежных средств с указанием банковских реквизитов в Администрацию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</w:t>
      </w:r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, осуществляющую учёт инициативных платежей.</w:t>
      </w: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Администрация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</w:t>
      </w:r>
      <w:r w:rsidR="00860DAD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, осуществляющая учёт инициативных платежей, в течение 5 рабочих дней со дня поступления заявления осуществляет возврат денежных средств.</w:t>
      </w: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3F6" w:rsidRDefault="00B323F6"/>
    <w:sectPr w:rsidR="00B323F6" w:rsidSect="00F12C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A4" w:rsidRDefault="00F401A4" w:rsidP="00F12C02">
      <w:pPr>
        <w:spacing w:after="0" w:line="240" w:lineRule="auto"/>
      </w:pPr>
      <w:r>
        <w:separator/>
      </w:r>
    </w:p>
  </w:endnote>
  <w:endnote w:type="continuationSeparator" w:id="1">
    <w:p w:rsidR="00F401A4" w:rsidRDefault="00F401A4" w:rsidP="00F1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A4" w:rsidRDefault="00F401A4" w:rsidP="00F12C02">
      <w:pPr>
        <w:spacing w:after="0" w:line="240" w:lineRule="auto"/>
      </w:pPr>
      <w:r>
        <w:separator/>
      </w:r>
    </w:p>
  </w:footnote>
  <w:footnote w:type="continuationSeparator" w:id="1">
    <w:p w:rsidR="00F401A4" w:rsidRDefault="00F401A4" w:rsidP="00F1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21483"/>
      <w:docPartObj>
        <w:docPartGallery w:val="Page Numbers (Top of Page)"/>
        <w:docPartUnique/>
      </w:docPartObj>
    </w:sdtPr>
    <w:sdtContent>
      <w:p w:rsidR="00F12C02" w:rsidRDefault="00C404B0">
        <w:pPr>
          <w:pStyle w:val="a3"/>
          <w:jc w:val="center"/>
        </w:pPr>
        <w:r>
          <w:fldChar w:fldCharType="begin"/>
        </w:r>
        <w:r w:rsidR="00F12C02">
          <w:instrText>PAGE   \* MERGEFORMAT</w:instrText>
        </w:r>
        <w:r>
          <w:fldChar w:fldCharType="separate"/>
        </w:r>
        <w:r w:rsidR="004D576D">
          <w:rPr>
            <w:noProof/>
          </w:rPr>
          <w:t>2</w:t>
        </w:r>
        <w:r>
          <w:fldChar w:fldCharType="end"/>
        </w:r>
      </w:p>
    </w:sdtContent>
  </w:sdt>
  <w:p w:rsidR="00F12C02" w:rsidRDefault="00F12C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227"/>
    <w:rsid w:val="004D576D"/>
    <w:rsid w:val="00575227"/>
    <w:rsid w:val="00860DAD"/>
    <w:rsid w:val="00B323F6"/>
    <w:rsid w:val="00C404B0"/>
    <w:rsid w:val="00DF2C38"/>
    <w:rsid w:val="00F12C02"/>
    <w:rsid w:val="00F4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C02"/>
  </w:style>
  <w:style w:type="paragraph" w:styleId="a5">
    <w:name w:val="footer"/>
    <w:basedOn w:val="a"/>
    <w:link w:val="a6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C02"/>
  </w:style>
  <w:style w:type="character" w:styleId="a7">
    <w:name w:val="Hyperlink"/>
    <w:uiPriority w:val="99"/>
    <w:unhideWhenUsed/>
    <w:rsid w:val="00860DA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BEST</cp:lastModifiedBy>
  <cp:revision>4</cp:revision>
  <dcterms:created xsi:type="dcterms:W3CDTF">2021-01-22T07:04:00Z</dcterms:created>
  <dcterms:modified xsi:type="dcterms:W3CDTF">2021-01-25T15:09:00Z</dcterms:modified>
</cp:coreProperties>
</file>