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18" w:rsidRDefault="00633D18" w:rsidP="00684B77">
      <w:pPr>
        <w:tabs>
          <w:tab w:val="left" w:pos="7587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633D18" w:rsidRDefault="00633D18" w:rsidP="00684B77">
      <w:pPr>
        <w:tabs>
          <w:tab w:val="left" w:pos="7587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СЕЛЬСКОГО ПОСЕЛЕНИЯ</w:t>
      </w:r>
    </w:p>
    <w:p w:rsidR="00633D18" w:rsidRDefault="00633D18" w:rsidP="00684B77">
      <w:pPr>
        <w:tabs>
          <w:tab w:val="left" w:pos="7587"/>
        </w:tabs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АСИНОВСКИЙ РАЙОН ТОМСКАЯ ОБЛАСТЬ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center"/>
        <w:rPr>
          <w:b/>
        </w:rPr>
      </w:pPr>
    </w:p>
    <w:p w:rsidR="00633D18" w:rsidRDefault="00633D18" w:rsidP="00684B77">
      <w:pPr>
        <w:pStyle w:val="ConsPlusTitle"/>
        <w:widowControl/>
        <w:tabs>
          <w:tab w:val="left" w:pos="758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633D18" w:rsidRDefault="00633D18" w:rsidP="00684B77">
      <w:pPr>
        <w:pStyle w:val="ConsPlusTitle"/>
        <w:widowControl/>
        <w:tabs>
          <w:tab w:val="left" w:pos="758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3D18" w:rsidRDefault="00633D18" w:rsidP="00684B77">
      <w:pPr>
        <w:pStyle w:val="ConsPlusTitle"/>
        <w:widowControl/>
        <w:tabs>
          <w:tab w:val="left" w:pos="758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31.10.2022                                                                                                       № 11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center"/>
        <w:rPr>
          <w:b/>
        </w:rPr>
      </w:pPr>
    </w:p>
    <w:p w:rsidR="00633D18" w:rsidRDefault="00633D18" w:rsidP="00684B77">
      <w:pPr>
        <w:tabs>
          <w:tab w:val="left" w:pos="7587"/>
        </w:tabs>
        <w:spacing w:before="0" w:after="0"/>
        <w:jc w:val="center"/>
        <w:rPr>
          <w:b/>
        </w:rPr>
      </w:pPr>
      <w:r>
        <w:rPr>
          <w:b/>
        </w:rPr>
        <w:t xml:space="preserve">Об утверждении перечня массовых социально значимых  муниципальных услуг, предоставляемых администрацией Новониколаевского сельского поселения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center"/>
        <w:rPr>
          <w:b/>
        </w:rPr>
      </w:pP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ind w:firstLine="708"/>
        <w:jc w:val="both"/>
      </w:pPr>
      <w:proofErr w:type="gramStart"/>
      <w: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распоряжением Правительства Российской Федерации от 18 сентября 2019 № 2113-р «Об утверждении 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</w:t>
      </w:r>
      <w:proofErr w:type="gramEnd"/>
      <w:r>
        <w:t xml:space="preserve">, а также органами местного самоуправления», руководствуясь </w:t>
      </w:r>
      <w:hyperlink r:id="rId6" w:history="1">
        <w:r>
          <w:rPr>
            <w:rStyle w:val="a4"/>
          </w:rPr>
          <w:t>Уставом</w:t>
        </w:r>
      </w:hyperlink>
      <w:r>
        <w:t xml:space="preserve"> муниципального образования «Новониколаевское сельское поселение»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ind w:firstLine="540"/>
        <w:jc w:val="both"/>
      </w:pPr>
    </w:p>
    <w:p w:rsidR="00633D18" w:rsidRDefault="00633D18" w:rsidP="00684B77">
      <w:pPr>
        <w:tabs>
          <w:tab w:val="left" w:pos="7587"/>
        </w:tabs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ab/>
        <w:t>1.Утвердить перечень массовых социально значимых  муниципальных услуг, предоставляемых администрацией Новониколаевского сельского поселения муниципальных услуг, согласно приложению, к настоящему решению.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ab/>
        <w:t>2. Отменить решения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12.03.2012 № 178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18.06.2012 № 183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20.07.2012 № 190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 от 26.02.2013 № 27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lastRenderedPageBreak/>
        <w:t xml:space="preserve">от 10.07.2014 № 92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17.12.2014 № 110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24.02.2015 № 115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25.05.2015 № 126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02.09.2016 № 174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21.06.2018 № 46 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30.07.2018 № 49 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 xml:space="preserve">от 25.10.2019 № 111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услуг»;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jc w:val="both"/>
      </w:pPr>
      <w:r>
        <w:t>от 29.09.2021 № 192 «О внесении изменений в решение Совета Новониколаевского сельского поселения от 22.09.2011 № 151 «Об утверждении перечня услуг, которые являются необходимыми и обязательными для предоставления администрацией Новониколаевского сельского поселения муниципальных услуг».</w:t>
      </w:r>
    </w:p>
    <w:p w:rsidR="00633D18" w:rsidRDefault="00633D18" w:rsidP="00684B77">
      <w:pPr>
        <w:pStyle w:val="a3"/>
        <w:tabs>
          <w:tab w:val="left" w:pos="7587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www.n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n</w:t>
        </w:r>
        <w:r>
          <w:rPr>
            <w:rStyle w:val="a4"/>
            <w:rFonts w:ascii="Times New Roman" w:hAnsi="Times New Roman"/>
            <w:sz w:val="24"/>
            <w:szCs w:val="24"/>
          </w:rPr>
          <w:t>selpasino.ru</w:t>
        </w:r>
      </w:hyperlink>
      <w:r>
        <w:rPr>
          <w:rFonts w:ascii="Times New Roman" w:hAnsi="Times New Roman"/>
          <w:sz w:val="24"/>
          <w:szCs w:val="24"/>
        </w:rPr>
        <w:t xml:space="preserve">.   </w:t>
      </w:r>
    </w:p>
    <w:p w:rsidR="00633D18" w:rsidRDefault="00633D18" w:rsidP="00684B77">
      <w:pPr>
        <w:pStyle w:val="a3"/>
        <w:tabs>
          <w:tab w:val="left" w:pos="7587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Настоящее решение вступает в силу со дня его официального опубликования.</w:t>
      </w:r>
    </w:p>
    <w:p w:rsidR="00633D18" w:rsidRDefault="00633D18" w:rsidP="00684B77">
      <w:pPr>
        <w:pStyle w:val="a3"/>
        <w:tabs>
          <w:tab w:val="left" w:pos="7587"/>
        </w:tabs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Контроль исполнения настоящего решения возложить на социально-экономический комитет Совета Новониколаевского сельского поселения. </w:t>
      </w:r>
    </w:p>
    <w:p w:rsidR="00633D18" w:rsidRDefault="00633D18" w:rsidP="00684B77">
      <w:pPr>
        <w:pStyle w:val="a3"/>
        <w:tabs>
          <w:tab w:val="left" w:pos="7587"/>
        </w:tabs>
        <w:jc w:val="both"/>
        <w:rPr>
          <w:rFonts w:ascii="Times New Roman" w:hAnsi="Times New Roman"/>
          <w:sz w:val="24"/>
          <w:szCs w:val="24"/>
        </w:rPr>
      </w:pPr>
    </w:p>
    <w:p w:rsidR="00633D18" w:rsidRDefault="00633D18" w:rsidP="00684B77">
      <w:pPr>
        <w:pStyle w:val="a3"/>
        <w:tabs>
          <w:tab w:val="left" w:pos="7587"/>
        </w:tabs>
        <w:jc w:val="both"/>
        <w:rPr>
          <w:rFonts w:ascii="Times New Roman" w:hAnsi="Times New Roman"/>
          <w:sz w:val="24"/>
          <w:szCs w:val="24"/>
        </w:rPr>
      </w:pPr>
    </w:p>
    <w:p w:rsidR="00633D18" w:rsidRDefault="00633D18" w:rsidP="00684B77">
      <w:pPr>
        <w:pStyle w:val="a3"/>
        <w:tabs>
          <w:tab w:val="left" w:pos="7587"/>
        </w:tabs>
        <w:jc w:val="both"/>
        <w:rPr>
          <w:rFonts w:ascii="Times New Roman" w:hAnsi="Times New Roman"/>
          <w:sz w:val="24"/>
          <w:szCs w:val="24"/>
        </w:rPr>
      </w:pPr>
    </w:p>
    <w:p w:rsidR="00633D18" w:rsidRDefault="00633D18" w:rsidP="00684B77">
      <w:pPr>
        <w:pStyle w:val="a3"/>
        <w:tabs>
          <w:tab w:val="left" w:pos="758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633D18" w:rsidRDefault="00633D18" w:rsidP="00684B77">
      <w:pPr>
        <w:pStyle w:val="a3"/>
        <w:tabs>
          <w:tab w:val="left" w:pos="758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Новониколаевского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сельского поселения                                                    </w:t>
      </w:r>
      <w:r>
        <w:rPr>
          <w:rFonts w:ascii="Times New Roman" w:hAnsi="Times New Roman"/>
          <w:sz w:val="24"/>
          <w:szCs w:val="24"/>
        </w:rPr>
        <w:t>Е. А. Авдеева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ind w:firstLine="540"/>
        <w:jc w:val="both"/>
        <w:rPr>
          <w:rFonts w:eastAsia="Calibri"/>
          <w:color w:val="000000"/>
          <w:lang w:eastAsia="en-US"/>
        </w:rPr>
      </w:pP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ind w:firstLine="540"/>
        <w:jc w:val="both"/>
      </w:pP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bookmarkStart w:id="0" w:name="_GoBack"/>
      <w:bookmarkEnd w:id="0"/>
      <w:r>
        <w:t>Приложение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r>
        <w:t>УТВЕРЖДЕНО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r>
        <w:t>решением Совета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r>
        <w:t xml:space="preserve">Новониколаевского 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r>
        <w:t xml:space="preserve">сельского поселения </w:t>
      </w:r>
    </w:p>
    <w:p w:rsidR="00633D18" w:rsidRDefault="00633D18" w:rsidP="00684B77">
      <w:pPr>
        <w:tabs>
          <w:tab w:val="left" w:pos="7587"/>
        </w:tabs>
        <w:spacing w:before="0" w:after="0"/>
        <w:ind w:left="7020"/>
        <w:jc w:val="both"/>
      </w:pPr>
      <w:r>
        <w:t>от 31.10.2022 № 11</w:t>
      </w:r>
    </w:p>
    <w:p w:rsidR="00633D18" w:rsidRDefault="00633D18" w:rsidP="00684B77">
      <w:pPr>
        <w:pStyle w:val="ConsPlusTitle"/>
        <w:widowControl/>
        <w:tabs>
          <w:tab w:val="left" w:pos="758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33D18" w:rsidRDefault="00633D18" w:rsidP="00684B77">
      <w:pPr>
        <w:pStyle w:val="ConsPlusTitle"/>
        <w:widowControl/>
        <w:tabs>
          <w:tab w:val="left" w:pos="758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массовых социально значимых  муниципальных услуг, </w:t>
      </w:r>
    </w:p>
    <w:p w:rsidR="00633D18" w:rsidRDefault="00633D18" w:rsidP="00684B77">
      <w:pPr>
        <w:pStyle w:val="ConsPlusTitle"/>
        <w:widowControl/>
        <w:tabs>
          <w:tab w:val="left" w:pos="7587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администрацией Новониколаевского сельского поселения </w:t>
      </w:r>
    </w:p>
    <w:p w:rsidR="00633D18" w:rsidRDefault="00633D18" w:rsidP="00684B77">
      <w:pPr>
        <w:tabs>
          <w:tab w:val="left" w:pos="7587"/>
        </w:tabs>
        <w:autoSpaceDE w:val="0"/>
        <w:autoSpaceDN w:val="0"/>
        <w:adjustRightInd w:val="0"/>
        <w:spacing w:after="0"/>
        <w:ind w:firstLine="540"/>
        <w:jc w:val="both"/>
      </w:pPr>
    </w:p>
    <w:p w:rsidR="00D63C17" w:rsidRPr="00D63C17" w:rsidRDefault="00D63C17" w:rsidP="00D63C1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D63C17">
        <w:rPr>
          <w:rFonts w:ascii="Times New Roman" w:hAnsi="Times New Roman"/>
          <w:sz w:val="24"/>
          <w:szCs w:val="24"/>
        </w:rPr>
        <w:t>Выдача разрешения на ввод объекта в эксплуатацию.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 xml:space="preserve"> Выдача градостроительного плана земельного участка.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Pr="00D63C17">
        <w:rPr>
          <w:rFonts w:eastAsia="Calibri"/>
          <w:lang w:eastAsia="en-US"/>
        </w:rPr>
        <w:t>похозяйственной</w:t>
      </w:r>
      <w:proofErr w:type="spellEnd"/>
      <w:r w:rsidRPr="00D63C17">
        <w:rPr>
          <w:rFonts w:eastAsia="Calibri"/>
          <w:lang w:eastAsia="en-US"/>
        </w:rPr>
        <w:t xml:space="preserve"> книги и иных документов, содержащих аналогичные сведения).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Предварительное согласование предоставления земельного участка.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color w:val="000000"/>
          <w:lang w:eastAsia="en-US"/>
        </w:rPr>
      </w:pPr>
      <w:r w:rsidRPr="00D63C17">
        <w:rPr>
          <w:rFonts w:eastAsia="Calibri"/>
          <w:color w:val="000000"/>
          <w:lang w:eastAsia="en-US"/>
        </w:rPr>
        <w:lastRenderedPageBreak/>
        <w:t>Предоставление жилого помещения по договору социального найма или в собственность бесплатно.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Предоставление жилого помещения специализированного жилищного фонда.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Принятие на учет граждан в качестве нуждающихся в жилых помещениях.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Присвоение адреса объекту адресации, изменение и аннулирование такого адреса.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Согласование проведения переустройства и (или) перепланировки помещения в многоквартирном доме.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Перевод жилого помещения в нежилое помещение и нежилого помещения в жилое помещение.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Предоставление разрешения на осуществление земляных работ.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Выдача разрешений на право вырубки зеленых насаждений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Принятие решения о включении в список граждан, нуждающихся в древесине для собственных нужд.</w:t>
      </w:r>
    </w:p>
    <w:p w:rsidR="00D63C17" w:rsidRPr="00D63C17" w:rsidRDefault="00D63C17" w:rsidP="00D63C17">
      <w:pPr>
        <w:numPr>
          <w:ilvl w:val="0"/>
          <w:numId w:val="2"/>
        </w:numPr>
        <w:spacing w:before="0" w:after="0"/>
        <w:jc w:val="both"/>
        <w:rPr>
          <w:rFonts w:eastAsia="Calibri"/>
          <w:lang w:eastAsia="en-US"/>
        </w:rPr>
      </w:pPr>
      <w:r w:rsidRPr="00D63C17">
        <w:rPr>
          <w:rFonts w:eastAsia="Calibri"/>
          <w:lang w:eastAsia="en-US"/>
        </w:rPr>
        <w:t>Выдача архивных справок, архивных копий, архивных выписок и информационных писем.</w:t>
      </w:r>
    </w:p>
    <w:p w:rsidR="00633D18" w:rsidRDefault="00633D18" w:rsidP="00D63C17">
      <w:pPr>
        <w:ind w:left="502"/>
      </w:pPr>
    </w:p>
    <w:p w:rsidR="00A55FB3" w:rsidRDefault="00A55FB3"/>
    <w:sectPr w:rsidR="00A5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A6921"/>
    <w:multiLevelType w:val="hybridMultilevel"/>
    <w:tmpl w:val="F4D636D4"/>
    <w:lvl w:ilvl="0" w:tplc="EFCE394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95"/>
    <w:rsid w:val="000C4295"/>
    <w:rsid w:val="00633D18"/>
    <w:rsid w:val="00684B77"/>
    <w:rsid w:val="00A55FB3"/>
    <w:rsid w:val="00D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1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3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33D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633D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D1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3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33D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semiHidden/>
    <w:unhideWhenUsed/>
    <w:rsid w:val="00633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91;n=52363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2022-11-02T04:10:00Z</cp:lastPrinted>
  <dcterms:created xsi:type="dcterms:W3CDTF">2022-10-31T09:34:00Z</dcterms:created>
  <dcterms:modified xsi:type="dcterms:W3CDTF">2022-11-02T04:10:00Z</dcterms:modified>
</cp:coreProperties>
</file>